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Pr="00FE6DF8" w:rsidRDefault="0080273E" w:rsidP="00F92D89">
      <w:pPr>
        <w:pStyle w:val="Nzov"/>
        <w:rPr>
          <w:lang w:val="sk-SK"/>
        </w:rPr>
      </w:pPr>
      <w:r w:rsidRPr="00FE6DF8">
        <w:rPr>
          <w:lang w:val="sk-SK"/>
        </w:rPr>
        <w:t>Správa zo zahraničnej pracovnej cesty</w:t>
      </w:r>
    </w:p>
    <w:p w14:paraId="1AE4FFA7" w14:textId="03BCBDFD" w:rsidR="0022733D" w:rsidRPr="00FE6DF8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t>Účastní</w:t>
      </w:r>
      <w:r w:rsidR="006A0A86" w:rsidRPr="00FE6DF8">
        <w:rPr>
          <w:lang w:val="sk-SK"/>
        </w:rPr>
        <w:t xml:space="preserve">ci </w:t>
      </w:r>
      <w:r w:rsidRPr="00FE6DF8">
        <w:rPr>
          <w:lang w:val="sk-SK"/>
        </w:rPr>
        <w:t>ZPC</w:t>
      </w:r>
    </w:p>
    <w:p w14:paraId="02D38AB3" w14:textId="1E8BB265" w:rsidR="00493F62" w:rsidRPr="00FE6DF8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FE6DF8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FE6DF8">
        <w:rPr>
          <w:sz w:val="22"/>
          <w:szCs w:val="22"/>
          <w:lang w:val="sk-SK"/>
        </w:rPr>
        <w:t xml:space="preserve"> </w:t>
      </w:r>
      <w:r w:rsidR="00493F62" w:rsidRPr="00FE6DF8">
        <w:rPr>
          <w:sz w:val="22"/>
          <w:szCs w:val="22"/>
          <w:lang w:val="sk-SK"/>
        </w:rPr>
        <w:tab/>
      </w:r>
      <w:r w:rsidR="00493F62" w:rsidRPr="00FE6DF8">
        <w:rPr>
          <w:sz w:val="22"/>
          <w:szCs w:val="22"/>
          <w:lang w:val="sk-SK"/>
        </w:rPr>
        <w:tab/>
      </w:r>
      <w:r w:rsidR="00FD0F75" w:rsidRPr="00FE6DF8">
        <w:rPr>
          <w:sz w:val="22"/>
          <w:szCs w:val="22"/>
          <w:lang w:val="sk-SK"/>
        </w:rPr>
        <w:tab/>
      </w:r>
      <w:r w:rsidR="00840E20" w:rsidRPr="00FE6DF8">
        <w:rPr>
          <w:b/>
          <w:sz w:val="22"/>
          <w:szCs w:val="22"/>
          <w:lang w:val="sk-SK"/>
        </w:rPr>
        <w:t>P</w:t>
      </w:r>
      <w:r w:rsidR="000B54F1" w:rsidRPr="00FE6DF8">
        <w:rPr>
          <w:b/>
          <w:sz w:val="22"/>
          <w:szCs w:val="22"/>
          <w:lang w:val="sk-SK"/>
        </w:rPr>
        <w:t>harm</w:t>
      </w:r>
      <w:r w:rsidR="00840E20" w:rsidRPr="00FE6DF8">
        <w:rPr>
          <w:b/>
          <w:sz w:val="22"/>
          <w:szCs w:val="22"/>
          <w:lang w:val="sk-SK"/>
        </w:rPr>
        <w:t>Dr</w:t>
      </w:r>
      <w:r w:rsidR="006D0A08" w:rsidRPr="00FE6DF8">
        <w:rPr>
          <w:b/>
          <w:sz w:val="22"/>
          <w:szCs w:val="22"/>
          <w:lang w:val="sk-SK"/>
        </w:rPr>
        <w:t xml:space="preserve">. </w:t>
      </w:r>
      <w:r w:rsidR="000B54F1" w:rsidRPr="00FE6DF8">
        <w:rPr>
          <w:b/>
          <w:sz w:val="22"/>
          <w:szCs w:val="22"/>
          <w:lang w:val="sk-SK"/>
        </w:rPr>
        <w:t>Kamila Chomaničová</w:t>
      </w:r>
      <w:r w:rsidR="00B7687C" w:rsidRPr="00FE6DF8">
        <w:rPr>
          <w:b/>
          <w:sz w:val="22"/>
          <w:szCs w:val="22"/>
          <w:lang w:val="sk-SK"/>
        </w:rPr>
        <w:t>, PhD.</w:t>
      </w:r>
      <w:r w:rsidR="00493F62" w:rsidRPr="00FE6DF8">
        <w:rPr>
          <w:b/>
          <w:sz w:val="22"/>
          <w:szCs w:val="22"/>
          <w:lang w:val="sk-SK"/>
        </w:rPr>
        <w:t xml:space="preserve"> </w:t>
      </w:r>
      <w:r w:rsidR="00493F62" w:rsidRPr="00FE6DF8">
        <w:rPr>
          <w:sz w:val="22"/>
          <w:szCs w:val="22"/>
          <w:lang w:val="sk-SK"/>
        </w:rPr>
        <w:tab/>
      </w:r>
      <w:r w:rsidR="00FD0F75" w:rsidRPr="00FE6DF8">
        <w:rPr>
          <w:sz w:val="22"/>
          <w:szCs w:val="22"/>
          <w:lang w:val="sk-SK"/>
        </w:rPr>
        <w:tab/>
      </w:r>
    </w:p>
    <w:p w14:paraId="087CB0C0" w14:textId="06099BD5" w:rsidR="0080273E" w:rsidRPr="00FE6DF8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="00B7687C" w:rsidRPr="00FE6DF8">
        <w:rPr>
          <w:sz w:val="22"/>
          <w:szCs w:val="22"/>
          <w:lang w:val="sk-SK"/>
        </w:rPr>
        <w:t>S</w:t>
      </w:r>
      <w:r w:rsidR="00F92D89" w:rsidRPr="00FE6DF8">
        <w:rPr>
          <w:sz w:val="22"/>
          <w:szCs w:val="22"/>
          <w:lang w:val="sk-SK"/>
        </w:rPr>
        <w:t>ADA</w:t>
      </w:r>
      <w:r w:rsidRPr="00FE6DF8">
        <w:rPr>
          <w:sz w:val="22"/>
          <w:szCs w:val="22"/>
          <w:lang w:val="sk-SK"/>
        </w:rPr>
        <w:t>, Hanulova 5/C, 841 01 Bratislava</w:t>
      </w:r>
    </w:p>
    <w:p w14:paraId="32956050" w14:textId="67AAE076" w:rsidR="0080273E" w:rsidRPr="00FE6DF8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="00FD0F75" w:rsidRPr="00FE6DF8">
        <w:rPr>
          <w:sz w:val="22"/>
          <w:szCs w:val="22"/>
          <w:lang w:val="sk-SK"/>
        </w:rPr>
        <w:tab/>
      </w:r>
      <w:r w:rsidR="000B54F1" w:rsidRPr="00FE6DF8">
        <w:rPr>
          <w:sz w:val="22"/>
          <w:szCs w:val="22"/>
          <w:lang w:val="sk-SK"/>
        </w:rPr>
        <w:t xml:space="preserve">odborný pracovník pre vzdelávanie </w:t>
      </w:r>
    </w:p>
    <w:p w14:paraId="40D0E0BF" w14:textId="012732E4" w:rsidR="0080273E" w:rsidRPr="00FE6DF8" w:rsidRDefault="0080273E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="00FD0F75" w:rsidRPr="00FE6DF8">
        <w:rPr>
          <w:sz w:val="22"/>
          <w:szCs w:val="22"/>
          <w:lang w:val="sk-SK"/>
        </w:rPr>
        <w:tab/>
      </w:r>
      <w:r w:rsidR="006D0A08" w:rsidRPr="00FE6DF8">
        <w:rPr>
          <w:sz w:val="22"/>
          <w:szCs w:val="22"/>
          <w:lang w:val="sk-SK"/>
        </w:rPr>
        <w:t>anglicky,</w:t>
      </w:r>
      <w:r w:rsidR="000B54F1" w:rsidRPr="00FE6DF8">
        <w:rPr>
          <w:sz w:val="22"/>
          <w:szCs w:val="22"/>
          <w:lang w:val="sk-SK"/>
        </w:rPr>
        <w:t xml:space="preserve"> nemecky </w:t>
      </w:r>
    </w:p>
    <w:p w14:paraId="23A2308C" w14:textId="77777777" w:rsidR="006D0A08" w:rsidRPr="00FE6DF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3E322E9B" w14:textId="7E090F7E" w:rsidR="006D0A08" w:rsidRPr="00FE6DF8" w:rsidRDefault="006D0A08" w:rsidP="006D0A08">
      <w:pPr>
        <w:pStyle w:val="Bezriadkovania"/>
        <w:jc w:val="both"/>
        <w:rPr>
          <w:b/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b/>
          <w:sz w:val="22"/>
          <w:szCs w:val="22"/>
          <w:lang w:val="sk-SK"/>
        </w:rPr>
        <w:t>Ing. Tomáš Pagáč</w:t>
      </w:r>
      <w:r w:rsidR="00B7687C" w:rsidRPr="00FE6DF8">
        <w:rPr>
          <w:b/>
          <w:sz w:val="22"/>
          <w:szCs w:val="22"/>
          <w:lang w:val="sk-SK"/>
        </w:rPr>
        <w:t>, PhD.</w:t>
      </w:r>
      <w:r w:rsidRPr="00FE6DF8">
        <w:rPr>
          <w:b/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</w:p>
    <w:p w14:paraId="2632D5B0" w14:textId="135038DD" w:rsidR="006D0A08" w:rsidRPr="00FE6DF8" w:rsidRDefault="006D0A08" w:rsidP="006D0A08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="00B7687C" w:rsidRPr="00FE6DF8">
        <w:rPr>
          <w:sz w:val="22"/>
          <w:szCs w:val="22"/>
          <w:lang w:val="sk-SK"/>
        </w:rPr>
        <w:t>S</w:t>
      </w:r>
      <w:r w:rsidRPr="00FE6DF8">
        <w:rPr>
          <w:sz w:val="22"/>
          <w:szCs w:val="22"/>
          <w:lang w:val="sk-SK"/>
        </w:rPr>
        <w:t>ADA, Hanulova 5/C, 841 01 Bratislava</w:t>
      </w:r>
    </w:p>
    <w:p w14:paraId="073C9190" w14:textId="55833C24" w:rsidR="006D0A08" w:rsidRPr="00FE6DF8" w:rsidRDefault="006D0A08" w:rsidP="006D0A08">
      <w:pPr>
        <w:pStyle w:val="Bezriadkovania"/>
        <w:jc w:val="both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="0030016E" w:rsidRPr="00FE6DF8">
        <w:rPr>
          <w:sz w:val="22"/>
          <w:szCs w:val="22"/>
          <w:lang w:val="sk-SK"/>
        </w:rPr>
        <w:t>vedúci oddelenia testovania a prevencie</w:t>
      </w:r>
    </w:p>
    <w:p w14:paraId="0941D918" w14:textId="39A905DF" w:rsidR="006D0A08" w:rsidRPr="00FE6DF8" w:rsidRDefault="006D0A08" w:rsidP="006D0A08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  <w:t>anglicky, francúzsky</w:t>
      </w:r>
    </w:p>
    <w:p w14:paraId="5B04E1A3" w14:textId="14F5ED5C" w:rsidR="0022733D" w:rsidRPr="00FE6DF8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t>Zahraničná pracovná cesta</w:t>
      </w:r>
    </w:p>
    <w:p w14:paraId="65510327" w14:textId="13CD178F" w:rsidR="0080273E" w:rsidRPr="00FE6DF8" w:rsidRDefault="0080273E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Štát: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="00FD0F75" w:rsidRPr="00FE6DF8">
        <w:rPr>
          <w:sz w:val="22"/>
          <w:szCs w:val="22"/>
          <w:lang w:val="sk-SK"/>
        </w:rPr>
        <w:tab/>
      </w:r>
      <w:r w:rsidR="000B54F1" w:rsidRPr="00FE6DF8">
        <w:rPr>
          <w:sz w:val="22"/>
          <w:szCs w:val="22"/>
          <w:lang w:val="sk-SK"/>
        </w:rPr>
        <w:t>Južná Kórea</w:t>
      </w:r>
    </w:p>
    <w:p w14:paraId="6FF2E04F" w14:textId="3BEDEF42" w:rsidR="0080273E" w:rsidRPr="00FE6DF8" w:rsidRDefault="0080273E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Mesto: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="00FD0F75" w:rsidRPr="00FE6DF8">
        <w:rPr>
          <w:sz w:val="22"/>
          <w:szCs w:val="22"/>
          <w:lang w:val="sk-SK"/>
        </w:rPr>
        <w:tab/>
      </w:r>
      <w:proofErr w:type="spellStart"/>
      <w:r w:rsidR="000B54F1" w:rsidRPr="00FE6DF8">
        <w:rPr>
          <w:sz w:val="22"/>
          <w:szCs w:val="22"/>
          <w:lang w:val="sk-SK"/>
        </w:rPr>
        <w:t>Incheon</w:t>
      </w:r>
      <w:proofErr w:type="spellEnd"/>
    </w:p>
    <w:p w14:paraId="53941B2D" w14:textId="43BA157B" w:rsidR="0080273E" w:rsidRPr="00FE6DF8" w:rsidRDefault="00F92D89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FE6DF8">
        <w:rPr>
          <w:b/>
          <w:color w:val="4F81BD" w:themeColor="accent1"/>
          <w:sz w:val="22"/>
          <w:szCs w:val="22"/>
          <w:lang w:val="sk-SK"/>
        </w:rPr>
        <w:t>:</w:t>
      </w:r>
      <w:r w:rsidRPr="00FE6DF8">
        <w:rPr>
          <w:b/>
          <w:color w:val="4F81BD" w:themeColor="accent1"/>
          <w:sz w:val="22"/>
          <w:szCs w:val="22"/>
          <w:lang w:val="sk-SK"/>
        </w:rPr>
        <w:tab/>
      </w:r>
      <w:r w:rsidR="0080273E" w:rsidRPr="00FE6DF8">
        <w:rPr>
          <w:sz w:val="22"/>
          <w:szCs w:val="22"/>
          <w:lang w:val="sk-SK"/>
        </w:rPr>
        <w:tab/>
      </w:r>
      <w:r w:rsidR="0080273E" w:rsidRPr="00FE6DF8">
        <w:rPr>
          <w:sz w:val="22"/>
          <w:szCs w:val="22"/>
          <w:lang w:val="sk-SK"/>
        </w:rPr>
        <w:tab/>
      </w:r>
      <w:r w:rsidR="00376B9B" w:rsidRPr="00FE6DF8">
        <w:rPr>
          <w:sz w:val="22"/>
          <w:szCs w:val="22"/>
          <w:lang w:val="sk-SK"/>
        </w:rPr>
        <w:tab/>
      </w:r>
      <w:r w:rsidR="000B54F1" w:rsidRPr="00FE6DF8">
        <w:rPr>
          <w:sz w:val="22"/>
          <w:szCs w:val="22"/>
          <w:lang w:val="sk-SK"/>
        </w:rPr>
        <w:t xml:space="preserve">31.5. </w:t>
      </w:r>
      <w:r w:rsidR="0030016E" w:rsidRPr="00FE6DF8">
        <w:rPr>
          <w:sz w:val="22"/>
          <w:szCs w:val="22"/>
          <w:lang w:val="sk-SK"/>
        </w:rPr>
        <w:t>-</w:t>
      </w:r>
      <w:r w:rsidR="000B54F1" w:rsidRPr="00FE6DF8">
        <w:rPr>
          <w:sz w:val="22"/>
          <w:szCs w:val="22"/>
          <w:lang w:val="sk-SK"/>
        </w:rPr>
        <w:t xml:space="preserve"> 3</w:t>
      </w:r>
      <w:r w:rsidR="00922DB8" w:rsidRPr="00FE6DF8">
        <w:rPr>
          <w:sz w:val="22"/>
          <w:szCs w:val="22"/>
          <w:lang w:val="sk-SK"/>
        </w:rPr>
        <w:t>.</w:t>
      </w:r>
      <w:r w:rsidR="000B54F1" w:rsidRPr="00FE6DF8">
        <w:rPr>
          <w:sz w:val="22"/>
          <w:szCs w:val="22"/>
          <w:lang w:val="sk-SK"/>
        </w:rPr>
        <w:t>6</w:t>
      </w:r>
      <w:r w:rsidR="00922DB8" w:rsidRPr="00FE6DF8">
        <w:rPr>
          <w:sz w:val="22"/>
          <w:szCs w:val="22"/>
          <w:lang w:val="sk-SK"/>
        </w:rPr>
        <w:t>. 20</w:t>
      </w:r>
      <w:r w:rsidR="0030016E" w:rsidRPr="00FE6DF8">
        <w:rPr>
          <w:sz w:val="22"/>
          <w:szCs w:val="22"/>
          <w:lang w:val="sk-SK"/>
        </w:rPr>
        <w:t>2</w:t>
      </w:r>
      <w:r w:rsidR="0097344F" w:rsidRPr="00FE6DF8">
        <w:rPr>
          <w:sz w:val="22"/>
          <w:szCs w:val="22"/>
          <w:lang w:val="sk-SK"/>
        </w:rPr>
        <w:t>3</w:t>
      </w:r>
    </w:p>
    <w:p w14:paraId="73E37D83" w14:textId="2151EF86" w:rsidR="0080273E" w:rsidRPr="00FE6DF8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FE6DF8">
        <w:rPr>
          <w:sz w:val="22"/>
          <w:szCs w:val="22"/>
          <w:lang w:val="sk-SK"/>
        </w:rPr>
        <w:tab/>
      </w:r>
      <w:r w:rsidR="000B54F1" w:rsidRPr="00FE6DF8">
        <w:rPr>
          <w:sz w:val="22"/>
          <w:szCs w:val="22"/>
          <w:lang w:val="sk-SK"/>
        </w:rPr>
        <w:t>Antido</w:t>
      </w:r>
      <w:r w:rsidR="00CB6D1F">
        <w:rPr>
          <w:sz w:val="22"/>
          <w:szCs w:val="22"/>
          <w:lang w:val="sk-SK"/>
        </w:rPr>
        <w:t>p</w:t>
      </w:r>
      <w:r w:rsidR="000B54F1" w:rsidRPr="00FE6DF8">
        <w:rPr>
          <w:sz w:val="22"/>
          <w:szCs w:val="22"/>
          <w:lang w:val="sk-SK"/>
        </w:rPr>
        <w:t xml:space="preserve">ingová agentúra Kórea, Svetová antidopingová agentúra </w:t>
      </w:r>
      <w:r w:rsidR="0030016E" w:rsidRPr="00FE6DF8">
        <w:rPr>
          <w:sz w:val="22"/>
          <w:szCs w:val="22"/>
          <w:lang w:val="sk-SK"/>
        </w:rPr>
        <w:tab/>
      </w:r>
      <w:r w:rsidR="00922DB8" w:rsidRPr="00FE6DF8">
        <w:rPr>
          <w:sz w:val="22"/>
          <w:szCs w:val="22"/>
          <w:lang w:val="sk-SK"/>
        </w:rPr>
        <w:t xml:space="preserve"> </w:t>
      </w:r>
    </w:p>
    <w:p w14:paraId="79530791" w14:textId="494626D1" w:rsidR="0080273E" w:rsidRPr="00FE6DF8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FE6DF8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FE6DF8">
        <w:rPr>
          <w:sz w:val="22"/>
          <w:szCs w:val="22"/>
          <w:lang w:val="sk-SK"/>
        </w:rPr>
        <w:tab/>
        <w:t>Ú</w:t>
      </w:r>
      <w:r w:rsidR="00376B9B" w:rsidRPr="00FE6DF8">
        <w:rPr>
          <w:sz w:val="22"/>
          <w:szCs w:val="22"/>
          <w:lang w:val="sk-SK"/>
        </w:rPr>
        <w:t>časť na</w:t>
      </w:r>
      <w:r w:rsidR="000B54F1" w:rsidRPr="00FE6DF8">
        <w:rPr>
          <w:sz w:val="22"/>
          <w:szCs w:val="22"/>
          <w:lang w:val="sk-SK"/>
        </w:rPr>
        <w:t xml:space="preserve"> medzinárodnom sympóziu o terapeutických výnimkách</w:t>
      </w:r>
      <w:r w:rsidR="00B7687C" w:rsidRPr="00FE6DF8">
        <w:rPr>
          <w:sz w:val="22"/>
          <w:szCs w:val="22"/>
          <w:lang w:val="sk-SK"/>
        </w:rPr>
        <w:t>.</w:t>
      </w:r>
      <w:r w:rsidR="00922DB8" w:rsidRPr="00FE6DF8">
        <w:rPr>
          <w:sz w:val="22"/>
          <w:szCs w:val="22"/>
          <w:lang w:val="sk-SK"/>
        </w:rPr>
        <w:t xml:space="preserve"> </w:t>
      </w:r>
    </w:p>
    <w:p w14:paraId="65A11C09" w14:textId="2541EA0C" w:rsidR="0080273E" w:rsidRPr="00FE6DF8" w:rsidRDefault="0080273E" w:rsidP="00F92D89">
      <w:pPr>
        <w:pStyle w:val="Bezriadkovania"/>
        <w:ind w:left="3600" w:hanging="3600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FE6DF8">
        <w:rPr>
          <w:sz w:val="22"/>
          <w:szCs w:val="22"/>
          <w:lang w:val="sk-SK"/>
        </w:rPr>
        <w:tab/>
        <w:t>ZPC bola financovaná z rozpočtu Antidopingovej agentúry SR</w:t>
      </w:r>
      <w:r w:rsidR="00FD0F75" w:rsidRPr="00FE6DF8">
        <w:rPr>
          <w:sz w:val="22"/>
          <w:szCs w:val="22"/>
          <w:lang w:val="sk-SK"/>
        </w:rPr>
        <w:t>.</w:t>
      </w:r>
    </w:p>
    <w:p w14:paraId="2E9A13EB" w14:textId="4E5F4813" w:rsidR="00376B9B" w:rsidRPr="00FE6DF8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t>Rámcový program pobytu</w:t>
      </w:r>
    </w:p>
    <w:p w14:paraId="67FAE686" w14:textId="2C4F3D3F" w:rsidR="004026DF" w:rsidRPr="00FE6DF8" w:rsidRDefault="00376B9B" w:rsidP="004026DF">
      <w:pPr>
        <w:pStyle w:val="Bezriadkovania"/>
        <w:ind w:left="3600" w:hanging="3600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Dátum/čas:</w:t>
      </w:r>
      <w:r w:rsidR="00493F62" w:rsidRPr="00FE6DF8">
        <w:rPr>
          <w:sz w:val="22"/>
          <w:szCs w:val="22"/>
          <w:lang w:val="sk-SK"/>
        </w:rPr>
        <w:tab/>
      </w:r>
      <w:r w:rsidR="000B54F1" w:rsidRPr="00FE6DF8">
        <w:rPr>
          <w:sz w:val="22"/>
          <w:szCs w:val="22"/>
          <w:lang w:val="sk-SK"/>
        </w:rPr>
        <w:t>31. máj – 3.</w:t>
      </w:r>
      <w:r w:rsidR="00922DB8" w:rsidRPr="00FE6DF8">
        <w:rPr>
          <w:sz w:val="22"/>
          <w:szCs w:val="22"/>
          <w:lang w:val="sk-SK"/>
        </w:rPr>
        <w:t xml:space="preserve"> </w:t>
      </w:r>
      <w:r w:rsidR="0097344F" w:rsidRPr="00FE6DF8">
        <w:rPr>
          <w:sz w:val="22"/>
          <w:szCs w:val="22"/>
          <w:lang w:val="sk-SK"/>
        </w:rPr>
        <w:t>j</w:t>
      </w:r>
      <w:r w:rsidR="000B54F1" w:rsidRPr="00FE6DF8">
        <w:rPr>
          <w:sz w:val="22"/>
          <w:szCs w:val="22"/>
          <w:lang w:val="sk-SK"/>
        </w:rPr>
        <w:t>ún</w:t>
      </w:r>
      <w:r w:rsidR="00922DB8" w:rsidRPr="00FE6DF8">
        <w:rPr>
          <w:sz w:val="22"/>
          <w:szCs w:val="22"/>
          <w:lang w:val="sk-SK"/>
        </w:rPr>
        <w:t xml:space="preserve"> 20</w:t>
      </w:r>
      <w:r w:rsidR="004725A4" w:rsidRPr="00FE6DF8">
        <w:rPr>
          <w:sz w:val="22"/>
          <w:szCs w:val="22"/>
          <w:lang w:val="sk-SK"/>
        </w:rPr>
        <w:t>2</w:t>
      </w:r>
      <w:r w:rsidR="0097344F" w:rsidRPr="00FE6DF8">
        <w:rPr>
          <w:sz w:val="22"/>
          <w:szCs w:val="22"/>
          <w:lang w:val="sk-SK"/>
        </w:rPr>
        <w:t>3</w:t>
      </w:r>
    </w:p>
    <w:p w14:paraId="5881AF13" w14:textId="2E1D3FEC" w:rsidR="00493F62" w:rsidRPr="00FE6DF8" w:rsidRDefault="00493F62" w:rsidP="00D74780">
      <w:pPr>
        <w:pStyle w:val="Bezriadkovania"/>
        <w:ind w:left="3600"/>
        <w:rPr>
          <w:sz w:val="22"/>
          <w:szCs w:val="22"/>
          <w:lang w:val="sk-SK"/>
        </w:rPr>
      </w:pPr>
    </w:p>
    <w:p w14:paraId="022654CE" w14:textId="2E8795AD" w:rsidR="00376B9B" w:rsidRPr="003B7C09" w:rsidRDefault="00376B9B" w:rsidP="003B7C09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Navštívená organizácia:</w:t>
      </w:r>
      <w:r w:rsidR="0022733D" w:rsidRPr="00FE6DF8">
        <w:rPr>
          <w:sz w:val="22"/>
          <w:szCs w:val="22"/>
          <w:lang w:val="sk-SK"/>
        </w:rPr>
        <w:tab/>
      </w:r>
      <w:r w:rsidR="003B7C09">
        <w:rPr>
          <w:sz w:val="22"/>
          <w:szCs w:val="22"/>
          <w:lang w:val="sk-SK"/>
        </w:rPr>
        <w:t>WADA s</w:t>
      </w:r>
      <w:r w:rsidR="000B54F1" w:rsidRPr="00FE6DF8">
        <w:rPr>
          <w:sz w:val="22"/>
          <w:szCs w:val="22"/>
          <w:lang w:val="sk-SK"/>
        </w:rPr>
        <w:t>ympóziu</w:t>
      </w:r>
      <w:r w:rsidR="003B7C09">
        <w:rPr>
          <w:sz w:val="22"/>
          <w:szCs w:val="22"/>
          <w:lang w:val="sk-SK"/>
        </w:rPr>
        <w:t>m pre</w:t>
      </w:r>
      <w:r w:rsidR="000B54F1" w:rsidRPr="00FE6DF8">
        <w:rPr>
          <w:sz w:val="22"/>
          <w:szCs w:val="22"/>
          <w:lang w:val="sk-SK"/>
        </w:rPr>
        <w:t xml:space="preserve"> terapeutické výnimky </w:t>
      </w:r>
      <w:r w:rsidR="0097344F" w:rsidRPr="00FE6DF8">
        <w:rPr>
          <w:sz w:val="22"/>
          <w:szCs w:val="22"/>
          <w:lang w:val="sk-SK"/>
        </w:rPr>
        <w:t xml:space="preserve"> </w:t>
      </w:r>
    </w:p>
    <w:p w14:paraId="24A10776" w14:textId="77777777" w:rsidR="002E6007" w:rsidRPr="00FE6DF8" w:rsidRDefault="002E6007" w:rsidP="002E6007">
      <w:pPr>
        <w:pStyle w:val="Bezriadkovania"/>
        <w:rPr>
          <w:sz w:val="22"/>
          <w:szCs w:val="22"/>
          <w:lang w:val="sk-SK"/>
        </w:rPr>
      </w:pPr>
    </w:p>
    <w:p w14:paraId="26E50AE4" w14:textId="3BDFA46B" w:rsidR="002E6007" w:rsidRPr="00FE6DF8" w:rsidRDefault="002E6007" w:rsidP="002E6007">
      <w:pPr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br w:type="page"/>
      </w:r>
    </w:p>
    <w:p w14:paraId="234E9806" w14:textId="55856477" w:rsidR="006D0A08" w:rsidRPr="00FE6DF8" w:rsidRDefault="0080273E" w:rsidP="006D0A08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lastRenderedPageBreak/>
        <w:t>Stručný priebeh rokovaní</w:t>
      </w:r>
    </w:p>
    <w:p w14:paraId="19801DD3" w14:textId="755F927C" w:rsidR="004D3F30" w:rsidRPr="00FE6DF8" w:rsidRDefault="004D3F30" w:rsidP="000B54F1">
      <w:pPr>
        <w:pStyle w:val="Bezriadkovania"/>
        <w:ind w:firstLine="720"/>
        <w:jc w:val="both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 xml:space="preserve">Pred samotným zahájením WADA TUE sympózia prebehlo stretnutie farmaceutov z jednotlivých národných antidopingových agentúr s cieľom diskutovať o možnostiach spolupráce pri vzdelávaní farmaceutov v oblasti </w:t>
      </w:r>
      <w:proofErr w:type="spellStart"/>
      <w:r w:rsidRPr="00FE6DF8">
        <w:rPr>
          <w:sz w:val="22"/>
          <w:szCs w:val="22"/>
          <w:lang w:val="sk-SK"/>
        </w:rPr>
        <w:t>antidopingu</w:t>
      </w:r>
      <w:proofErr w:type="spellEnd"/>
      <w:r w:rsidRPr="00FE6DF8">
        <w:rPr>
          <w:sz w:val="22"/>
          <w:szCs w:val="22"/>
          <w:lang w:val="sk-SK"/>
        </w:rPr>
        <w:t>. WADA plánuje v budúcom roku rozbehnúť projekt zameraný na prípravu efektívnych nástrojov použiteľných na zvýšenie povedomia o výskyte zakázaných látok v</w:t>
      </w:r>
      <w:r w:rsidR="003B7C09">
        <w:rPr>
          <w:sz w:val="22"/>
          <w:szCs w:val="22"/>
          <w:lang w:val="sk-SK"/>
        </w:rPr>
        <w:t> liekoch,</w:t>
      </w:r>
      <w:r w:rsidR="00CE7FD7" w:rsidRPr="00FE6DF8">
        <w:rPr>
          <w:sz w:val="22"/>
          <w:szCs w:val="22"/>
          <w:lang w:val="sk-SK"/>
        </w:rPr>
        <w:t xml:space="preserve"> pre študentov farmaceutických fakúlt ako aj praktizujúcich farmaceutov. </w:t>
      </w:r>
      <w:r w:rsidRPr="00FE6DF8">
        <w:rPr>
          <w:sz w:val="22"/>
          <w:szCs w:val="22"/>
          <w:lang w:val="sk-SK"/>
        </w:rPr>
        <w:t xml:space="preserve"> </w:t>
      </w:r>
    </w:p>
    <w:p w14:paraId="4087D229" w14:textId="60AAC5D7" w:rsidR="000B54F1" w:rsidRDefault="000B54F1" w:rsidP="000B54F1">
      <w:pPr>
        <w:pStyle w:val="Bezriadkovania"/>
        <w:ind w:firstLine="720"/>
        <w:jc w:val="both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 xml:space="preserve">V úvode konferencie Dr. Alan </w:t>
      </w:r>
      <w:proofErr w:type="spellStart"/>
      <w:r w:rsidRPr="00FE6DF8">
        <w:rPr>
          <w:sz w:val="22"/>
          <w:szCs w:val="22"/>
          <w:lang w:val="sk-SK"/>
        </w:rPr>
        <w:t>Vernec</w:t>
      </w:r>
      <w:proofErr w:type="spellEnd"/>
      <w:r w:rsidRPr="00FE6DF8">
        <w:rPr>
          <w:sz w:val="22"/>
          <w:szCs w:val="22"/>
          <w:lang w:val="sk-SK"/>
        </w:rPr>
        <w:t xml:space="preserve"> (WADA) poukázal na dôležitosť terapeutických výnimiek</w:t>
      </w:r>
      <w:r w:rsidR="004D3F30" w:rsidRPr="00FE6DF8">
        <w:rPr>
          <w:sz w:val="22"/>
          <w:szCs w:val="22"/>
          <w:lang w:val="sk-SK"/>
        </w:rPr>
        <w:t xml:space="preserve"> (TUE)</w:t>
      </w:r>
      <w:r w:rsidRPr="00FE6DF8">
        <w:rPr>
          <w:sz w:val="22"/>
          <w:szCs w:val="22"/>
          <w:lang w:val="sk-SK"/>
        </w:rPr>
        <w:t xml:space="preserve"> vo vzťahu k zdraviu a športovému výkonu športovcov.</w:t>
      </w:r>
      <w:r w:rsidR="004D3F30" w:rsidRPr="00FE6DF8">
        <w:rPr>
          <w:sz w:val="22"/>
          <w:szCs w:val="22"/>
          <w:lang w:val="sk-SK"/>
        </w:rPr>
        <w:t xml:space="preserve"> Štatisticky sa</w:t>
      </w:r>
      <w:r w:rsidRPr="00FE6DF8">
        <w:rPr>
          <w:sz w:val="22"/>
          <w:szCs w:val="22"/>
          <w:lang w:val="sk-SK"/>
        </w:rPr>
        <w:t xml:space="preserve"> </w:t>
      </w:r>
      <w:r w:rsidR="004D3F30" w:rsidRPr="00FE6DF8">
        <w:rPr>
          <w:sz w:val="22"/>
          <w:szCs w:val="22"/>
          <w:lang w:val="sk-SK"/>
        </w:rPr>
        <w:t>n</w:t>
      </w:r>
      <w:r w:rsidRPr="00FE6DF8">
        <w:rPr>
          <w:sz w:val="22"/>
          <w:szCs w:val="22"/>
          <w:lang w:val="sk-SK"/>
        </w:rPr>
        <w:t xml:space="preserve">ajviac TUE sa udeľuje na </w:t>
      </w:r>
      <w:proofErr w:type="spellStart"/>
      <w:r w:rsidRPr="00FE6DF8">
        <w:rPr>
          <w:sz w:val="22"/>
          <w:szCs w:val="22"/>
          <w:lang w:val="sk-SK"/>
        </w:rPr>
        <w:t>glukokortikoidy</w:t>
      </w:r>
      <w:proofErr w:type="spellEnd"/>
      <w:r w:rsidRPr="00FE6DF8">
        <w:rPr>
          <w:sz w:val="22"/>
          <w:szCs w:val="22"/>
          <w:lang w:val="sk-SK"/>
        </w:rPr>
        <w:t xml:space="preserve">, </w:t>
      </w:r>
      <w:proofErr w:type="spellStart"/>
      <w:r w:rsidRPr="00FE6DF8">
        <w:rPr>
          <w:sz w:val="22"/>
          <w:szCs w:val="22"/>
          <w:lang w:val="sk-SK"/>
        </w:rPr>
        <w:t>stimulanciá</w:t>
      </w:r>
      <w:proofErr w:type="spellEnd"/>
      <w:r w:rsidRPr="00FE6DF8">
        <w:rPr>
          <w:sz w:val="22"/>
          <w:szCs w:val="22"/>
          <w:lang w:val="sk-SK"/>
        </w:rPr>
        <w:t xml:space="preserve"> a hormonálne a metabolické modulátory. </w:t>
      </w:r>
      <w:r w:rsidR="003B7C09">
        <w:rPr>
          <w:sz w:val="22"/>
          <w:szCs w:val="22"/>
          <w:lang w:val="sk-SK"/>
        </w:rPr>
        <w:t xml:space="preserve">Na začiatku </w:t>
      </w:r>
      <w:r w:rsidR="00FE6DF8" w:rsidRPr="00FE6DF8">
        <w:rPr>
          <w:sz w:val="22"/>
          <w:szCs w:val="22"/>
          <w:lang w:val="sk-SK"/>
        </w:rPr>
        <w:t>sympózia bola odprezentovaná krátka história prvých udelených TUE a založenie TUE komisie WADA, štatistika udelených TUE za rok 2022 vzhľadom na jednotlivé športy, a tiež možnosti prípadného zaradenia ďalších liečiv (</w:t>
      </w:r>
      <w:proofErr w:type="spellStart"/>
      <w:r w:rsidR="00FE6DF8" w:rsidRPr="00FE6DF8">
        <w:rPr>
          <w:sz w:val="22"/>
          <w:szCs w:val="22"/>
          <w:lang w:val="sk-SK"/>
        </w:rPr>
        <w:t>tyroidné</w:t>
      </w:r>
      <w:proofErr w:type="spellEnd"/>
      <w:r w:rsidR="00FE6DF8" w:rsidRPr="00FE6DF8">
        <w:rPr>
          <w:sz w:val="22"/>
          <w:szCs w:val="22"/>
          <w:lang w:val="sk-SK"/>
        </w:rPr>
        <w:t xml:space="preserve"> hormóny, </w:t>
      </w:r>
      <w:proofErr w:type="spellStart"/>
      <w:r w:rsidR="00FE6DF8" w:rsidRPr="00FE6DF8">
        <w:rPr>
          <w:sz w:val="22"/>
          <w:szCs w:val="22"/>
          <w:lang w:val="sk-SK"/>
        </w:rPr>
        <w:t>ektosteroidy</w:t>
      </w:r>
      <w:proofErr w:type="spellEnd"/>
      <w:r w:rsidR="00FE6DF8" w:rsidRPr="00FE6DF8">
        <w:rPr>
          <w:sz w:val="22"/>
          <w:szCs w:val="22"/>
          <w:lang w:val="sk-SK"/>
        </w:rPr>
        <w:t>) do zoznamu zakázaných látok v ďalších rokoch. Ďalej boli odprezentované informácie týkajúce sa produktov tradičnej medicíny, výživových doplnkov, liekov a legislatív</w:t>
      </w:r>
      <w:r w:rsidR="003B7C09">
        <w:rPr>
          <w:sz w:val="22"/>
          <w:szCs w:val="22"/>
          <w:lang w:val="sk-SK"/>
        </w:rPr>
        <w:t>a</w:t>
      </w:r>
      <w:r w:rsidR="00FE6DF8" w:rsidRPr="00FE6DF8">
        <w:rPr>
          <w:sz w:val="22"/>
          <w:szCs w:val="22"/>
          <w:lang w:val="sk-SK"/>
        </w:rPr>
        <w:t xml:space="preserve"> ich uvádzania na trh s ohľadom na neúmyselné porušenie antidopingových pravidiel športovcom. </w:t>
      </w:r>
    </w:p>
    <w:p w14:paraId="5F68A6AA" w14:textId="2BE5CF0A" w:rsidR="00614ED6" w:rsidRDefault="00614ED6" w:rsidP="000B54F1">
      <w:pPr>
        <w:pStyle w:val="Bezriadkovania"/>
        <w:ind w:firstLine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Ďalšia časť programu bola zameraná na prezentáciu praktických prípadov podania žiadosti o terapeutickú výnimku. Prvý prípad sa týkal diagnózy ADHD, ktorej najväčším limitom je stanovenie diagnózy bez objektívneho faktora. Udeľovanie TUE v praxi ohľadom tejto diagnózy sa stretáva s viacerými komplikáciami, predovšetkým neúplnosť psychiatrickej </w:t>
      </w:r>
      <w:proofErr w:type="spellStart"/>
      <w:r>
        <w:rPr>
          <w:sz w:val="22"/>
          <w:szCs w:val="22"/>
          <w:lang w:val="sk-SK"/>
        </w:rPr>
        <w:t>evaluácie</w:t>
      </w:r>
      <w:proofErr w:type="spellEnd"/>
      <w:r>
        <w:rPr>
          <w:sz w:val="22"/>
          <w:szCs w:val="22"/>
          <w:lang w:val="sk-SK"/>
        </w:rPr>
        <w:t xml:space="preserve"> a nedostatok informácií z detstva. Druhý prípad posudzoval udelenie TUE na testosterón. Štandardne je možné TUE udeliť v prípade, že nízka hladina </w:t>
      </w:r>
      <w:proofErr w:type="spellStart"/>
      <w:r>
        <w:rPr>
          <w:sz w:val="22"/>
          <w:szCs w:val="22"/>
          <w:lang w:val="sk-SK"/>
        </w:rPr>
        <w:t>testosterónu</w:t>
      </w:r>
      <w:proofErr w:type="spellEnd"/>
      <w:r>
        <w:rPr>
          <w:sz w:val="22"/>
          <w:szCs w:val="22"/>
          <w:lang w:val="sk-SK"/>
        </w:rPr>
        <w:t xml:space="preserve"> koreluje s </w:t>
      </w:r>
      <w:proofErr w:type="spellStart"/>
      <w:r>
        <w:rPr>
          <w:sz w:val="22"/>
          <w:szCs w:val="22"/>
          <w:lang w:val="sk-SK"/>
        </w:rPr>
        <w:t>orgnánovým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hypogonádizmom</w:t>
      </w:r>
      <w:proofErr w:type="spellEnd"/>
      <w:r>
        <w:rPr>
          <w:sz w:val="22"/>
          <w:szCs w:val="22"/>
          <w:lang w:val="sk-SK"/>
        </w:rPr>
        <w:t xml:space="preserve">. </w:t>
      </w:r>
      <w:r w:rsidR="00B62532">
        <w:rPr>
          <w:sz w:val="22"/>
          <w:szCs w:val="22"/>
          <w:lang w:val="sk-SK"/>
        </w:rPr>
        <w:t xml:space="preserve">Prezentovaný prípad sa týkal nízkej hladiny testosterónu u cyklistu, ktorý nemal orgánovú </w:t>
      </w:r>
      <w:proofErr w:type="spellStart"/>
      <w:r w:rsidR="00B62532">
        <w:rPr>
          <w:sz w:val="22"/>
          <w:szCs w:val="22"/>
          <w:lang w:val="sk-SK"/>
        </w:rPr>
        <w:t>etilógiu</w:t>
      </w:r>
      <w:proofErr w:type="spellEnd"/>
      <w:r w:rsidR="00B62532">
        <w:rPr>
          <w:sz w:val="22"/>
          <w:szCs w:val="22"/>
          <w:lang w:val="sk-SK"/>
        </w:rPr>
        <w:t xml:space="preserve">. Pravdepodobne išlo o kombináciu faktorov – pretrénovanosť, nízky kalorický príjem, neskorý nástup puberty. TUE komisia </w:t>
      </w:r>
      <w:r w:rsidR="00051A63">
        <w:rPr>
          <w:sz w:val="22"/>
          <w:szCs w:val="22"/>
          <w:lang w:val="sk-SK"/>
        </w:rPr>
        <w:t xml:space="preserve">schválila udelenie TUE, WADA komisia následne toto rozhodnutie zrušila. Hlavným dôvodom bol neorgánový pôvod nízkej hladiny testosterónu. Tretí prípad riešil podanie rastového hormónu v prípade </w:t>
      </w:r>
      <w:proofErr w:type="spellStart"/>
      <w:r w:rsidR="00051A63">
        <w:rPr>
          <w:sz w:val="22"/>
          <w:szCs w:val="22"/>
          <w:lang w:val="sk-SK"/>
        </w:rPr>
        <w:t>deficiencie</w:t>
      </w:r>
      <w:proofErr w:type="spellEnd"/>
      <w:r w:rsidR="00051A63">
        <w:rPr>
          <w:sz w:val="22"/>
          <w:szCs w:val="22"/>
          <w:lang w:val="sk-SK"/>
        </w:rPr>
        <w:t xml:space="preserve"> rastového hormónu. </w:t>
      </w:r>
    </w:p>
    <w:p w14:paraId="49037EA6" w14:textId="71EF29D9" w:rsidR="005F0DBC" w:rsidRDefault="005F0DBC" w:rsidP="000B54F1">
      <w:pPr>
        <w:pStyle w:val="Bezriadkovania"/>
        <w:ind w:firstLine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Prípad futbalistu, ktorý musel užiť 2 dni pre súťažou prednizón per orálne. </w:t>
      </w:r>
      <w:proofErr w:type="spellStart"/>
      <w:r>
        <w:rPr>
          <w:sz w:val="22"/>
          <w:szCs w:val="22"/>
          <w:lang w:val="sk-SK"/>
        </w:rPr>
        <w:t>Vymývacia</w:t>
      </w:r>
      <w:proofErr w:type="spellEnd"/>
      <w:r>
        <w:rPr>
          <w:sz w:val="22"/>
          <w:szCs w:val="22"/>
          <w:lang w:val="sk-SK"/>
        </w:rPr>
        <w:t xml:space="preserve"> doba </w:t>
      </w:r>
      <w:proofErr w:type="spellStart"/>
      <w:r>
        <w:rPr>
          <w:sz w:val="22"/>
          <w:szCs w:val="22"/>
          <w:lang w:val="sk-SK"/>
        </w:rPr>
        <w:t>prednizónu</w:t>
      </w:r>
      <w:proofErr w:type="spellEnd"/>
      <w:r>
        <w:rPr>
          <w:sz w:val="22"/>
          <w:szCs w:val="22"/>
          <w:lang w:val="sk-SK"/>
        </w:rPr>
        <w:t xml:space="preserve"> je 3 dni. Športovec nemusí podať žiadosť o TUE, pretože užil liek v mimo súťažnom období a látka je zakázaná iba počas súťaže. V prípade atypického analytického nálezu</w:t>
      </w:r>
      <w:r w:rsidR="00B13780">
        <w:rPr>
          <w:sz w:val="22"/>
          <w:szCs w:val="22"/>
          <w:lang w:val="sk-SK"/>
        </w:rPr>
        <w:t xml:space="preserve"> (AAF)</w:t>
      </w:r>
      <w:r>
        <w:rPr>
          <w:sz w:val="22"/>
          <w:szCs w:val="22"/>
          <w:lang w:val="sk-SK"/>
        </w:rPr>
        <w:t xml:space="preserve"> by športovec požiadal o retro-aktívnu TUE. Nie je však chyba, ak NADO udelí TUE aj pri mimo súťažnom podaní v rámci </w:t>
      </w:r>
      <w:proofErr w:type="spellStart"/>
      <w:r>
        <w:rPr>
          <w:sz w:val="22"/>
          <w:szCs w:val="22"/>
          <w:lang w:val="sk-SK"/>
        </w:rPr>
        <w:t>vymývacej</w:t>
      </w:r>
      <w:proofErr w:type="spellEnd"/>
      <w:r>
        <w:rPr>
          <w:sz w:val="22"/>
          <w:szCs w:val="22"/>
          <w:lang w:val="sk-SK"/>
        </w:rPr>
        <w:t xml:space="preserve"> doby. V ďalšom prípade zdravotný stav športovca vyžadoval </w:t>
      </w:r>
      <w:proofErr w:type="spellStart"/>
      <w:r>
        <w:rPr>
          <w:sz w:val="22"/>
          <w:szCs w:val="22"/>
          <w:lang w:val="sk-SK"/>
        </w:rPr>
        <w:t>intraartikulárne</w:t>
      </w:r>
      <w:proofErr w:type="spellEnd"/>
      <w:r>
        <w:rPr>
          <w:sz w:val="22"/>
          <w:szCs w:val="22"/>
          <w:lang w:val="sk-SK"/>
        </w:rPr>
        <w:t xml:space="preserve"> podanie </w:t>
      </w:r>
      <w:proofErr w:type="spellStart"/>
      <w:r>
        <w:rPr>
          <w:sz w:val="22"/>
          <w:szCs w:val="22"/>
          <w:lang w:val="sk-SK"/>
        </w:rPr>
        <w:t>glukokortikoidov</w:t>
      </w:r>
      <w:proofErr w:type="spellEnd"/>
      <w:r>
        <w:rPr>
          <w:sz w:val="22"/>
          <w:szCs w:val="22"/>
          <w:lang w:val="sk-SK"/>
        </w:rPr>
        <w:t xml:space="preserve"> 2 dni pre súťažou</w:t>
      </w:r>
      <w:r w:rsidR="00B13780">
        <w:rPr>
          <w:sz w:val="22"/>
          <w:szCs w:val="22"/>
          <w:lang w:val="sk-SK"/>
        </w:rPr>
        <w:t xml:space="preserve">. Aj v tomto prípade je postačujúce, keď športovec podá žiadosť retro-aktívne v prípade AAF. Je však dôležité, aby mal športovec pripravenú podrobnú lekársku dokumentáciu, ktorá okrem klinického obrazu obsahuje v ideálnom prípade aj výsledky zobrazovacích vyšetrení. </w:t>
      </w:r>
    </w:p>
    <w:p w14:paraId="2A449025" w14:textId="781E99E9" w:rsidR="00BE2A05" w:rsidRPr="00FE6DF8" w:rsidRDefault="005F0DBC" w:rsidP="000B54F1">
      <w:pPr>
        <w:pStyle w:val="Bezriadkovania"/>
        <w:ind w:firstLine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</w:p>
    <w:p w14:paraId="796C0850" w14:textId="77777777" w:rsidR="000B54F1" w:rsidRPr="00FE6DF8" w:rsidRDefault="000B54F1" w:rsidP="000B54F1">
      <w:pPr>
        <w:rPr>
          <w:lang w:val="sk-SK"/>
        </w:rPr>
      </w:pPr>
    </w:p>
    <w:p w14:paraId="52901682" w14:textId="7FFC2D66" w:rsidR="009A4421" w:rsidRPr="00FE6DF8" w:rsidRDefault="009A4421" w:rsidP="00F92D89">
      <w:pPr>
        <w:pStyle w:val="Bezriadkovania"/>
        <w:ind w:left="720"/>
        <w:jc w:val="both"/>
        <w:rPr>
          <w:sz w:val="22"/>
          <w:szCs w:val="22"/>
          <w:lang w:val="sk-SK"/>
        </w:rPr>
      </w:pPr>
      <w:r w:rsidRPr="00FE6DF8">
        <w:rPr>
          <w:sz w:val="18"/>
          <w:szCs w:val="18"/>
          <w:lang w:val="sk-SK"/>
        </w:rPr>
        <w:tab/>
      </w:r>
      <w:r w:rsidR="006A1E9B" w:rsidRPr="00FE6DF8">
        <w:rPr>
          <w:sz w:val="22"/>
          <w:szCs w:val="22"/>
          <w:lang w:val="sk-SK"/>
        </w:rPr>
        <w:t xml:space="preserve"> </w:t>
      </w:r>
    </w:p>
    <w:p w14:paraId="5951BFDB" w14:textId="4464F564" w:rsidR="009A4421" w:rsidRPr="00FE6DF8" w:rsidRDefault="0080273E" w:rsidP="009A4421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t>Odporúčané závery</w:t>
      </w:r>
    </w:p>
    <w:p w14:paraId="1D38FCDF" w14:textId="0F442661" w:rsidR="000B54F1" w:rsidRPr="00FE6DF8" w:rsidRDefault="00FE6DF8" w:rsidP="000B54F1">
      <w:pPr>
        <w:pStyle w:val="Odsekzoznamu"/>
        <w:numPr>
          <w:ilvl w:val="0"/>
          <w:numId w:val="41"/>
        </w:numPr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>Rozvoj info</w:t>
      </w:r>
      <w:r w:rsidR="006429F5">
        <w:rPr>
          <w:sz w:val="22"/>
          <w:szCs w:val="22"/>
          <w:lang w:val="sk-SK"/>
        </w:rPr>
        <w:t>r</w:t>
      </w:r>
      <w:r w:rsidRPr="00FE6DF8">
        <w:rPr>
          <w:sz w:val="22"/>
          <w:szCs w:val="22"/>
          <w:lang w:val="sk-SK"/>
        </w:rPr>
        <w:t>movanosti a edukácie pre študentov farmaceutických fakúlt</w:t>
      </w:r>
      <w:r w:rsidR="006429F5">
        <w:rPr>
          <w:sz w:val="22"/>
          <w:szCs w:val="22"/>
          <w:lang w:val="sk-SK"/>
        </w:rPr>
        <w:t>.</w:t>
      </w:r>
    </w:p>
    <w:p w14:paraId="05E43F29" w14:textId="27E364DE" w:rsidR="00FE6DF8" w:rsidRDefault="00FE6DF8" w:rsidP="000B54F1">
      <w:pPr>
        <w:pStyle w:val="Odsekzoznamu"/>
        <w:numPr>
          <w:ilvl w:val="0"/>
          <w:numId w:val="41"/>
        </w:numPr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>Možnosť spolupráce so Svetovou antidopingovou agentúrou na implementácii vzdelávacieho program pre farmaceutov</w:t>
      </w:r>
      <w:r w:rsidR="006429F5">
        <w:rPr>
          <w:sz w:val="22"/>
          <w:szCs w:val="22"/>
          <w:lang w:val="sk-SK"/>
        </w:rPr>
        <w:t>.</w:t>
      </w:r>
    </w:p>
    <w:p w14:paraId="59A1587C" w14:textId="791257A3" w:rsidR="006429F5" w:rsidRPr="00FE6DF8" w:rsidRDefault="006429F5" w:rsidP="000B54F1">
      <w:pPr>
        <w:pStyle w:val="Odsekzoznamu"/>
        <w:numPr>
          <w:ilvl w:val="0"/>
          <w:numId w:val="4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Realizácia </w:t>
      </w:r>
      <w:proofErr w:type="spellStart"/>
      <w:r>
        <w:rPr>
          <w:sz w:val="22"/>
          <w:szCs w:val="22"/>
          <w:lang w:val="sk-SK"/>
        </w:rPr>
        <w:t>webináru</w:t>
      </w:r>
      <w:proofErr w:type="spellEnd"/>
      <w:r>
        <w:rPr>
          <w:sz w:val="22"/>
          <w:szCs w:val="22"/>
          <w:lang w:val="sk-SK"/>
        </w:rPr>
        <w:t xml:space="preserve"> pre členov TUE komisie SADA. </w:t>
      </w:r>
    </w:p>
    <w:p w14:paraId="7026D7FD" w14:textId="77777777" w:rsidR="000B54F1" w:rsidRPr="00FE6DF8" w:rsidRDefault="000B54F1" w:rsidP="000B54F1">
      <w:pPr>
        <w:rPr>
          <w:lang w:val="sk-SK"/>
        </w:rPr>
      </w:pPr>
    </w:p>
    <w:p w14:paraId="442D21BE" w14:textId="68CF2AB8" w:rsidR="00471A0E" w:rsidRPr="00FE6DF8" w:rsidRDefault="0080273E" w:rsidP="00AB1F46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lastRenderedPageBreak/>
        <w:t>Prehľad prinesenej dokumentácie a miesto jej uloženia</w:t>
      </w:r>
    </w:p>
    <w:p w14:paraId="2AC0580C" w14:textId="47714016" w:rsidR="006E6F68" w:rsidRPr="00FE6DF8" w:rsidRDefault="00707F81" w:rsidP="00707F81">
      <w:pPr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>-</w:t>
      </w:r>
    </w:p>
    <w:p w14:paraId="4FC97829" w14:textId="5C58ECDF" w:rsidR="0080273E" w:rsidRPr="00FE6DF8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t>Osobitne vyhodnotený očakávaný prínos ZPC</w:t>
      </w:r>
    </w:p>
    <w:p w14:paraId="5A841980" w14:textId="18D33252" w:rsidR="000B54F1" w:rsidRPr="00FE6DF8" w:rsidRDefault="000B54F1" w:rsidP="000B54F1">
      <w:pPr>
        <w:rPr>
          <w:lang w:val="sk-SK"/>
        </w:rPr>
      </w:pPr>
      <w:r w:rsidRPr="00FE6DF8">
        <w:rPr>
          <w:sz w:val="22"/>
          <w:szCs w:val="22"/>
          <w:lang w:val="sk-SK"/>
        </w:rPr>
        <w:t>Získanie informácií ohľadom udeľovania terapeutických výnimiek, prehľad prípadov žiadostí o TUE a ich riešení, ako aj kontaktné osoby vo WADA.</w:t>
      </w:r>
    </w:p>
    <w:p w14:paraId="7F139F59" w14:textId="77777777" w:rsidR="0080273E" w:rsidRPr="00FE6DF8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FE6DF8">
        <w:rPr>
          <w:lang w:val="sk-SK"/>
        </w:rPr>
        <w:t>Spôsob zverejnenia výsledkov ZPC, prenos získaných informácií</w:t>
      </w:r>
    </w:p>
    <w:p w14:paraId="2ED50D19" w14:textId="77777777" w:rsidR="0080273E" w:rsidRPr="00FE6DF8" w:rsidRDefault="0080273E" w:rsidP="0080273E">
      <w:pPr>
        <w:pStyle w:val="Bezriadkovania"/>
        <w:rPr>
          <w:lang w:val="sk-SK"/>
        </w:rPr>
      </w:pPr>
    </w:p>
    <w:p w14:paraId="3E6443FC" w14:textId="3BE743F7" w:rsidR="008533A3" w:rsidRPr="00FE6DF8" w:rsidRDefault="007D16AB" w:rsidP="000526FB">
      <w:pPr>
        <w:pStyle w:val="Bezriadkovania"/>
        <w:jc w:val="both"/>
        <w:rPr>
          <w:sz w:val="22"/>
          <w:szCs w:val="22"/>
          <w:lang w:val="sk-SK"/>
        </w:rPr>
      </w:pPr>
      <w:r w:rsidRPr="00FE6DF8">
        <w:rPr>
          <w:rFonts w:cs="Times New Roman"/>
          <w:spacing w:val="-3"/>
          <w:sz w:val="22"/>
          <w:szCs w:val="22"/>
          <w:lang w:val="sk-SK"/>
        </w:rPr>
        <w:t xml:space="preserve">Správa je zverejnená na webovej stránke </w:t>
      </w:r>
      <w:hyperlink r:id="rId5" w:history="1">
        <w:r w:rsidRPr="00FE6DF8">
          <w:rPr>
            <w:rStyle w:val="Hypertextovprepojenie"/>
            <w:spacing w:val="-3"/>
            <w:sz w:val="22"/>
            <w:szCs w:val="22"/>
            <w:lang w:val="sk-SK"/>
          </w:rPr>
          <w:t>www.antidoping.sk</w:t>
        </w:r>
      </w:hyperlink>
      <w:r w:rsidR="00471A0E" w:rsidRPr="00FE6DF8">
        <w:rPr>
          <w:rFonts w:cs="Times New Roman"/>
          <w:spacing w:val="-3"/>
          <w:sz w:val="22"/>
          <w:szCs w:val="22"/>
          <w:lang w:val="sk-SK"/>
        </w:rPr>
        <w:t xml:space="preserve">. </w:t>
      </w:r>
    </w:p>
    <w:p w14:paraId="32273BB0" w14:textId="77777777" w:rsidR="00471A0E" w:rsidRPr="00FE6DF8" w:rsidRDefault="00471A0E" w:rsidP="0080273E">
      <w:pPr>
        <w:pStyle w:val="Bezriadkovania"/>
        <w:rPr>
          <w:sz w:val="22"/>
          <w:szCs w:val="22"/>
          <w:lang w:val="sk-SK"/>
        </w:rPr>
      </w:pPr>
    </w:p>
    <w:p w14:paraId="60C524C5" w14:textId="77777777" w:rsidR="006E6F68" w:rsidRPr="00FE6DF8" w:rsidRDefault="0080273E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>Súhlasím so zverejnením správy na internete</w:t>
      </w:r>
      <w:r w:rsidR="008533A3" w:rsidRPr="00FE6DF8">
        <w:rPr>
          <w:sz w:val="22"/>
          <w:szCs w:val="22"/>
          <w:lang w:val="sk-SK"/>
        </w:rPr>
        <w:t>.</w:t>
      </w:r>
    </w:p>
    <w:p w14:paraId="0932AC32" w14:textId="77777777" w:rsidR="00B47A2C" w:rsidRPr="00FE6DF8" w:rsidRDefault="00B47A2C" w:rsidP="0080273E">
      <w:pPr>
        <w:pStyle w:val="Bezriadkovania"/>
        <w:rPr>
          <w:sz w:val="22"/>
          <w:szCs w:val="22"/>
          <w:lang w:val="sk-SK"/>
        </w:rPr>
      </w:pPr>
    </w:p>
    <w:p w14:paraId="4C863FA2" w14:textId="0A39AEF7" w:rsidR="0080273E" w:rsidRPr="00FE6DF8" w:rsidRDefault="0080273E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Správu vypracoval</w:t>
      </w:r>
      <w:r w:rsidR="000526FB" w:rsidRPr="00FE6DF8">
        <w:rPr>
          <w:b/>
          <w:color w:val="4F81BD" w:themeColor="accent1"/>
          <w:sz w:val="22"/>
          <w:szCs w:val="22"/>
          <w:lang w:val="sk-SK"/>
        </w:rPr>
        <w:t>i</w:t>
      </w:r>
      <w:r w:rsidRPr="00FE6DF8">
        <w:rPr>
          <w:b/>
          <w:color w:val="4F81BD" w:themeColor="accent1"/>
          <w:sz w:val="22"/>
          <w:szCs w:val="22"/>
          <w:lang w:val="sk-SK"/>
        </w:rPr>
        <w:t>:</w:t>
      </w:r>
      <w:r w:rsidR="006429F5">
        <w:rPr>
          <w:sz w:val="22"/>
          <w:szCs w:val="22"/>
          <w:lang w:val="sk-SK"/>
        </w:rPr>
        <w:t xml:space="preserve"> </w:t>
      </w:r>
      <w:r w:rsidR="006429F5">
        <w:rPr>
          <w:sz w:val="22"/>
          <w:szCs w:val="22"/>
          <w:lang w:val="sk-SK"/>
        </w:rPr>
        <w:tab/>
      </w:r>
      <w:r w:rsidR="006429F5">
        <w:rPr>
          <w:sz w:val="22"/>
          <w:szCs w:val="22"/>
          <w:lang w:val="sk-SK"/>
        </w:rPr>
        <w:tab/>
      </w:r>
      <w:r w:rsidR="006429F5">
        <w:rPr>
          <w:sz w:val="22"/>
          <w:szCs w:val="22"/>
          <w:lang w:val="sk-SK"/>
        </w:rPr>
        <w:tab/>
      </w:r>
      <w:r w:rsidR="006429F5">
        <w:rPr>
          <w:sz w:val="22"/>
          <w:szCs w:val="22"/>
          <w:lang w:val="sk-SK"/>
        </w:rPr>
        <w:tab/>
      </w:r>
      <w:r w:rsidR="008533A3" w:rsidRPr="00FE6DF8">
        <w:rPr>
          <w:sz w:val="22"/>
          <w:szCs w:val="22"/>
          <w:lang w:val="sk-SK"/>
        </w:rPr>
        <w:t>Ing. Tomáš Pagáč</w:t>
      </w:r>
      <w:r w:rsidR="004725A4" w:rsidRPr="00FE6DF8">
        <w:rPr>
          <w:sz w:val="22"/>
          <w:szCs w:val="22"/>
          <w:lang w:val="sk-SK"/>
        </w:rPr>
        <w:t xml:space="preserve">, PhD. </w:t>
      </w:r>
    </w:p>
    <w:p w14:paraId="0984464D" w14:textId="3289AA7A" w:rsidR="000B54F1" w:rsidRPr="00FE6DF8" w:rsidRDefault="000B54F1" w:rsidP="0080273E">
      <w:pPr>
        <w:pStyle w:val="Bezriadkovania"/>
        <w:rPr>
          <w:sz w:val="22"/>
          <w:szCs w:val="22"/>
          <w:lang w:val="sk-SK"/>
        </w:rPr>
      </w:pPr>
    </w:p>
    <w:p w14:paraId="665DCE21" w14:textId="37B9B097" w:rsidR="000B54F1" w:rsidRPr="00FE6DF8" w:rsidRDefault="000B54F1" w:rsidP="0080273E">
      <w:pPr>
        <w:pStyle w:val="Bezriadkovania"/>
        <w:rPr>
          <w:sz w:val="22"/>
          <w:szCs w:val="22"/>
          <w:lang w:val="sk-SK"/>
        </w:rPr>
      </w:pPr>
    </w:p>
    <w:p w14:paraId="4C7B8DA9" w14:textId="77777777" w:rsidR="000B54F1" w:rsidRPr="00FE6DF8" w:rsidRDefault="000B54F1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</w:p>
    <w:p w14:paraId="69B85A35" w14:textId="3304714E" w:rsidR="000B54F1" w:rsidRPr="00FE6DF8" w:rsidRDefault="000B54F1" w:rsidP="006429F5">
      <w:pPr>
        <w:pStyle w:val="Bezriadkovania"/>
        <w:ind w:left="4320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 xml:space="preserve">PharmDr. Kamila Chomaničová, PhD. </w:t>
      </w:r>
    </w:p>
    <w:p w14:paraId="312D2D12" w14:textId="37768E77" w:rsidR="006E6F68" w:rsidRPr="00FE6DF8" w:rsidRDefault="00B07100" w:rsidP="00B07100">
      <w:pPr>
        <w:pStyle w:val="Bezriadkovania"/>
        <w:ind w:firstLine="720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="006C37EE" w:rsidRPr="00FE6DF8">
        <w:rPr>
          <w:sz w:val="22"/>
          <w:szCs w:val="22"/>
          <w:lang w:val="sk-SK"/>
        </w:rPr>
        <w:tab/>
      </w:r>
      <w:r w:rsidR="006C37EE" w:rsidRPr="00FE6DF8">
        <w:rPr>
          <w:sz w:val="22"/>
          <w:szCs w:val="22"/>
          <w:lang w:val="sk-SK"/>
        </w:rPr>
        <w:tab/>
      </w:r>
      <w:r w:rsidR="006C37EE" w:rsidRPr="00FE6DF8">
        <w:rPr>
          <w:sz w:val="22"/>
          <w:szCs w:val="22"/>
          <w:lang w:val="sk-SK"/>
        </w:rPr>
        <w:tab/>
      </w:r>
      <w:r w:rsidR="006C37EE" w:rsidRPr="00FE6DF8">
        <w:rPr>
          <w:sz w:val="22"/>
          <w:szCs w:val="22"/>
          <w:lang w:val="sk-SK"/>
        </w:rPr>
        <w:tab/>
      </w:r>
      <w:r w:rsidR="006C37EE" w:rsidRPr="00FE6DF8">
        <w:rPr>
          <w:sz w:val="22"/>
          <w:szCs w:val="22"/>
          <w:lang w:val="sk-SK"/>
        </w:rPr>
        <w:tab/>
      </w:r>
      <w:r w:rsidR="006C37EE" w:rsidRPr="00FE6DF8">
        <w:rPr>
          <w:sz w:val="22"/>
          <w:szCs w:val="22"/>
          <w:lang w:val="sk-SK"/>
        </w:rPr>
        <w:tab/>
      </w:r>
    </w:p>
    <w:p w14:paraId="4657A1A3" w14:textId="77777777" w:rsidR="006E6F68" w:rsidRPr="00FE6DF8" w:rsidRDefault="006C37EE" w:rsidP="00C11556">
      <w:pPr>
        <w:pStyle w:val="Bezriadkovania"/>
        <w:ind w:firstLine="720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</w:p>
    <w:p w14:paraId="215B404E" w14:textId="77777777" w:rsidR="006C37EE" w:rsidRPr="00FE6DF8" w:rsidRDefault="006C37EE" w:rsidP="00C11556">
      <w:pPr>
        <w:pStyle w:val="Bezriadkovania"/>
        <w:ind w:firstLine="720"/>
        <w:rPr>
          <w:sz w:val="22"/>
          <w:szCs w:val="22"/>
          <w:lang w:val="sk-SK"/>
        </w:rPr>
      </w:pPr>
    </w:p>
    <w:p w14:paraId="44BEC7A1" w14:textId="77777777" w:rsidR="006C37EE" w:rsidRPr="00FE6DF8" w:rsidRDefault="006C37EE" w:rsidP="00C11556">
      <w:pPr>
        <w:pStyle w:val="Bezriadkovania"/>
        <w:ind w:firstLine="720"/>
        <w:rPr>
          <w:sz w:val="22"/>
          <w:szCs w:val="22"/>
          <w:lang w:val="sk-SK"/>
        </w:rPr>
      </w:pPr>
    </w:p>
    <w:p w14:paraId="2CAD7637" w14:textId="77777777" w:rsidR="008533A3" w:rsidRPr="00FE6DF8" w:rsidRDefault="008533A3" w:rsidP="0080273E">
      <w:pPr>
        <w:pStyle w:val="Bezriadkovania"/>
        <w:rPr>
          <w:sz w:val="22"/>
          <w:szCs w:val="22"/>
          <w:lang w:val="sk-SK"/>
        </w:rPr>
      </w:pPr>
    </w:p>
    <w:p w14:paraId="159CF5F9" w14:textId="77777777" w:rsidR="008533A3" w:rsidRPr="00FE6DF8" w:rsidRDefault="008533A3" w:rsidP="0080273E">
      <w:pPr>
        <w:pStyle w:val="Bezriadkovania"/>
        <w:rPr>
          <w:sz w:val="22"/>
          <w:szCs w:val="22"/>
          <w:lang w:val="sk-SK"/>
        </w:rPr>
      </w:pPr>
    </w:p>
    <w:p w14:paraId="5930016D" w14:textId="77777777" w:rsidR="00C11556" w:rsidRPr="00FE6DF8" w:rsidRDefault="00C11556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7EB81D0B" w14:textId="77777777" w:rsidR="00C357B5" w:rsidRPr="00FE6DF8" w:rsidRDefault="00C357B5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1C5D36C2" w14:textId="4B250667" w:rsidR="000B54F1" w:rsidRPr="00FE6DF8" w:rsidRDefault="0080273E" w:rsidP="000B54F1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Správu schválil</w:t>
      </w:r>
      <w:r w:rsidR="008533A3" w:rsidRPr="00FE6DF8">
        <w:rPr>
          <w:b/>
          <w:color w:val="4F81BD" w:themeColor="accent1"/>
          <w:sz w:val="22"/>
          <w:szCs w:val="22"/>
          <w:lang w:val="sk-SK"/>
        </w:rPr>
        <w:t>:</w:t>
      </w:r>
      <w:r w:rsidR="008533A3" w:rsidRPr="00FE6DF8">
        <w:rPr>
          <w:sz w:val="22"/>
          <w:szCs w:val="22"/>
          <w:lang w:val="sk-SK"/>
        </w:rPr>
        <w:t xml:space="preserve"> </w:t>
      </w:r>
      <w:r w:rsidR="008533A3" w:rsidRPr="00FE6DF8">
        <w:rPr>
          <w:sz w:val="22"/>
          <w:szCs w:val="22"/>
          <w:lang w:val="sk-SK"/>
        </w:rPr>
        <w:tab/>
      </w:r>
      <w:r w:rsidR="008533A3" w:rsidRPr="00FE6DF8">
        <w:rPr>
          <w:sz w:val="22"/>
          <w:szCs w:val="22"/>
          <w:lang w:val="sk-SK"/>
        </w:rPr>
        <w:tab/>
      </w:r>
      <w:r w:rsidR="006429F5">
        <w:rPr>
          <w:sz w:val="22"/>
          <w:szCs w:val="22"/>
          <w:lang w:val="sk-SK"/>
        </w:rPr>
        <w:tab/>
      </w:r>
      <w:r w:rsidR="006429F5">
        <w:rPr>
          <w:sz w:val="22"/>
          <w:szCs w:val="22"/>
          <w:lang w:val="sk-SK"/>
        </w:rPr>
        <w:tab/>
      </w:r>
      <w:r w:rsidR="000B54F1" w:rsidRPr="00FE6DF8">
        <w:rPr>
          <w:sz w:val="22"/>
          <w:szCs w:val="22"/>
          <w:lang w:val="sk-SK"/>
        </w:rPr>
        <w:t xml:space="preserve">PaedDr. Žaneta </w:t>
      </w:r>
      <w:proofErr w:type="spellStart"/>
      <w:r w:rsidR="000B54F1" w:rsidRPr="00FE6DF8">
        <w:rPr>
          <w:sz w:val="22"/>
          <w:szCs w:val="22"/>
          <w:lang w:val="sk-SK"/>
        </w:rPr>
        <w:t>Csáderová</w:t>
      </w:r>
      <w:proofErr w:type="spellEnd"/>
      <w:r w:rsidR="000B54F1" w:rsidRPr="00FE6DF8">
        <w:rPr>
          <w:sz w:val="22"/>
          <w:szCs w:val="22"/>
          <w:lang w:val="sk-SK"/>
        </w:rPr>
        <w:t>, PhD.</w:t>
      </w:r>
    </w:p>
    <w:p w14:paraId="41950AB4" w14:textId="3F0A6EF8" w:rsidR="0080273E" w:rsidRPr="00FE6DF8" w:rsidRDefault="008533A3" w:rsidP="0080273E">
      <w:pPr>
        <w:pStyle w:val="Bezriadkovania"/>
        <w:rPr>
          <w:sz w:val="22"/>
          <w:szCs w:val="22"/>
          <w:lang w:val="sk-SK"/>
        </w:rPr>
      </w:pP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</w:p>
    <w:p w14:paraId="0DC86C8B" w14:textId="74E9E535" w:rsidR="008533A3" w:rsidRPr="00FE6DF8" w:rsidRDefault="006429F5" w:rsidP="0080273E">
      <w:pPr>
        <w:pStyle w:val="Bezriadkovania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bookmarkStart w:id="0" w:name="_GoBack"/>
      <w:bookmarkEnd w:id="0"/>
      <w:r w:rsidR="000B54F1" w:rsidRPr="00FE6DF8">
        <w:rPr>
          <w:sz w:val="22"/>
          <w:szCs w:val="22"/>
          <w:lang w:val="sk-SK"/>
        </w:rPr>
        <w:t xml:space="preserve">Riaditeľka </w:t>
      </w:r>
    </w:p>
    <w:sectPr w:rsidR="008533A3" w:rsidRPr="00FE6DF8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2C5BFF"/>
    <w:multiLevelType w:val="hybridMultilevel"/>
    <w:tmpl w:val="36B40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70B5F"/>
    <w:multiLevelType w:val="hybridMultilevel"/>
    <w:tmpl w:val="F522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55337F"/>
    <w:multiLevelType w:val="hybridMultilevel"/>
    <w:tmpl w:val="87A8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19"/>
  </w:num>
  <w:num w:numId="4">
    <w:abstractNumId w:val="14"/>
  </w:num>
  <w:num w:numId="5">
    <w:abstractNumId w:val="9"/>
  </w:num>
  <w:num w:numId="6">
    <w:abstractNumId w:val="13"/>
  </w:num>
  <w:num w:numId="7">
    <w:abstractNumId w:val="21"/>
  </w:num>
  <w:num w:numId="8">
    <w:abstractNumId w:val="30"/>
  </w:num>
  <w:num w:numId="9">
    <w:abstractNumId w:val="25"/>
  </w:num>
  <w:num w:numId="10">
    <w:abstractNumId w:val="4"/>
  </w:num>
  <w:num w:numId="11">
    <w:abstractNumId w:val="38"/>
  </w:num>
  <w:num w:numId="12">
    <w:abstractNumId w:val="11"/>
  </w:num>
  <w:num w:numId="13">
    <w:abstractNumId w:val="24"/>
  </w:num>
  <w:num w:numId="14">
    <w:abstractNumId w:val="36"/>
  </w:num>
  <w:num w:numId="15">
    <w:abstractNumId w:val="6"/>
  </w:num>
  <w:num w:numId="16">
    <w:abstractNumId w:val="26"/>
  </w:num>
  <w:num w:numId="17">
    <w:abstractNumId w:val="8"/>
  </w:num>
  <w:num w:numId="18">
    <w:abstractNumId w:val="12"/>
  </w:num>
  <w:num w:numId="19">
    <w:abstractNumId w:val="7"/>
  </w:num>
  <w:num w:numId="20">
    <w:abstractNumId w:val="20"/>
  </w:num>
  <w:num w:numId="21">
    <w:abstractNumId w:val="15"/>
  </w:num>
  <w:num w:numId="22">
    <w:abstractNumId w:val="22"/>
  </w:num>
  <w:num w:numId="23">
    <w:abstractNumId w:val="20"/>
  </w:num>
  <w:num w:numId="24">
    <w:abstractNumId w:val="20"/>
  </w:num>
  <w:num w:numId="25">
    <w:abstractNumId w:val="37"/>
  </w:num>
  <w:num w:numId="26">
    <w:abstractNumId w:val="31"/>
  </w:num>
  <w:num w:numId="27">
    <w:abstractNumId w:val="0"/>
  </w:num>
  <w:num w:numId="28">
    <w:abstractNumId w:val="28"/>
  </w:num>
  <w:num w:numId="29">
    <w:abstractNumId w:val="32"/>
  </w:num>
  <w:num w:numId="30">
    <w:abstractNumId w:val="35"/>
  </w:num>
  <w:num w:numId="31">
    <w:abstractNumId w:val="16"/>
  </w:num>
  <w:num w:numId="32">
    <w:abstractNumId w:val="18"/>
  </w:num>
  <w:num w:numId="33">
    <w:abstractNumId w:val="29"/>
  </w:num>
  <w:num w:numId="34">
    <w:abstractNumId w:val="33"/>
  </w:num>
  <w:num w:numId="35">
    <w:abstractNumId w:val="5"/>
  </w:num>
  <w:num w:numId="36">
    <w:abstractNumId w:val="17"/>
  </w:num>
  <w:num w:numId="37">
    <w:abstractNumId w:val="10"/>
  </w:num>
  <w:num w:numId="38">
    <w:abstractNumId w:val="27"/>
  </w:num>
  <w:num w:numId="39">
    <w:abstractNumId w:val="2"/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1A63"/>
    <w:rsid w:val="000526FB"/>
    <w:rsid w:val="0008471E"/>
    <w:rsid w:val="00090C5E"/>
    <w:rsid w:val="000B54F1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B7C09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4D3F30"/>
    <w:rsid w:val="00524DAD"/>
    <w:rsid w:val="00547517"/>
    <w:rsid w:val="005544B1"/>
    <w:rsid w:val="00572CAB"/>
    <w:rsid w:val="005C5052"/>
    <w:rsid w:val="005E25E1"/>
    <w:rsid w:val="005F043A"/>
    <w:rsid w:val="005F0DBC"/>
    <w:rsid w:val="00600C6E"/>
    <w:rsid w:val="006015E2"/>
    <w:rsid w:val="00606849"/>
    <w:rsid w:val="00614ED6"/>
    <w:rsid w:val="006429F5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25F82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3631"/>
    <w:rsid w:val="00AB1F46"/>
    <w:rsid w:val="00AC7A8D"/>
    <w:rsid w:val="00AD4C2E"/>
    <w:rsid w:val="00B049E3"/>
    <w:rsid w:val="00B07100"/>
    <w:rsid w:val="00B13780"/>
    <w:rsid w:val="00B405F0"/>
    <w:rsid w:val="00B47A2C"/>
    <w:rsid w:val="00B522C1"/>
    <w:rsid w:val="00B62532"/>
    <w:rsid w:val="00B7687C"/>
    <w:rsid w:val="00B8021D"/>
    <w:rsid w:val="00BE2A05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B6D1F"/>
    <w:rsid w:val="00CD10A1"/>
    <w:rsid w:val="00CE7FD7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3B8B"/>
    <w:rsid w:val="00F23EA6"/>
    <w:rsid w:val="00F3406D"/>
    <w:rsid w:val="00F42853"/>
    <w:rsid w:val="00F67879"/>
    <w:rsid w:val="00F842E3"/>
    <w:rsid w:val="00F92D89"/>
    <w:rsid w:val="00FD0F75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Terapeutické výnimky</cp:lastModifiedBy>
  <cp:revision>6</cp:revision>
  <dcterms:created xsi:type="dcterms:W3CDTF">2023-06-01T02:04:00Z</dcterms:created>
  <dcterms:modified xsi:type="dcterms:W3CDTF">2023-06-06T04:56:00Z</dcterms:modified>
</cp:coreProperties>
</file>